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C93" w:rsidRPr="00831554" w:rsidRDefault="00117C93" w:rsidP="00831554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C71C3"/>
          <w:kern w:val="3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b/>
          <w:bCs/>
          <w:color w:val="0C71C3"/>
          <w:kern w:val="36"/>
          <w:sz w:val="28"/>
          <w:szCs w:val="28"/>
          <w:lang w:eastAsia="es-CO"/>
        </w:rPr>
        <w:t>Procedimientos que se siguen para tomar decisiones en las diferentes áreas</w:t>
      </w:r>
    </w:p>
    <w:p w:rsidR="0083656B" w:rsidRPr="00831554" w:rsidRDefault="0083656B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</w:pPr>
    </w:p>
    <w:p w:rsidR="0083656B" w:rsidRPr="00831554" w:rsidRDefault="0083656B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</w:pPr>
    </w:p>
    <w:p w:rsidR="0083656B" w:rsidRPr="00831554" w:rsidRDefault="0083656B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</w:pPr>
    </w:p>
    <w:p w:rsidR="00124428" w:rsidRDefault="0083656B" w:rsidP="00E169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La notaria única de Frontino Antioquia, se esfuerza en</w:t>
      </w:r>
      <w:r w:rsid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atender y </w:t>
      </w:r>
      <w:r w:rsid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ofrecer</w:t>
      </w:r>
      <w:r w:rsid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</w:t>
      </w:r>
      <w:r w:rsidR="00E169B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un servicio de calidad con el fin de satisfacer de manera oportuna los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diferentes requerimientos por parte de la ciudadanía</w:t>
      </w:r>
      <w:r w:rsidR="00E169B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. </w:t>
      </w:r>
      <w:r w:rsidR="00124428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Los procedimientos en cada uno de los servicios de la notaría, están ajustados a la normatividad y</w:t>
      </w:r>
      <w:r w:rsidR="00E169B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al control y</w:t>
      </w:r>
      <w:r w:rsidR="00124428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vigilancia de la superintendencia de Notariado y Registro, reflejándose en un buen servicio </w:t>
      </w:r>
      <w:r w:rsidR="00E169BD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hacia la comunidad</w:t>
      </w:r>
      <w:r w:rsidR="00124428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.</w:t>
      </w:r>
    </w:p>
    <w:p w:rsidR="00E169BD" w:rsidRPr="00831554" w:rsidRDefault="00E169BD" w:rsidP="00E169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</w:pPr>
    </w:p>
    <w:p w:rsidR="00117C93" w:rsidRDefault="00117C93" w:rsidP="00831554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noProof/>
          <w:color w:val="666666"/>
          <w:sz w:val="28"/>
          <w:szCs w:val="28"/>
          <w:bdr w:val="none" w:sz="0" w:space="0" w:color="auto" w:frame="1"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ángulo 4" descr="https://www.notaria1sangil.com.co/wp-content/uploads/2022/06/D7C07321-HDR-sca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33FFF" id="Rectángulo 4" o:spid="_x0000_s1026" alt="https://www.notaria1sangil.com.co/wp-content/uploads/2022/06/D7C07321-HDR-scal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uwrI1&#10;+gIAABY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E169BD" w:rsidRDefault="00E169BD" w:rsidP="00831554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</w:p>
    <w:p w:rsidR="00E169BD" w:rsidRPr="00831554" w:rsidRDefault="00E169BD" w:rsidP="00831554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</w:p>
    <w:p w:rsidR="00117C93" w:rsidRPr="00831554" w:rsidRDefault="00117C93" w:rsidP="00831554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O"/>
        </w:rPr>
      </w:pPr>
      <w:r w:rsidRPr="0083155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O"/>
        </w:rPr>
        <w:t>PLANTA FÍSICA</w:t>
      </w:r>
    </w:p>
    <w:p w:rsidR="00124428" w:rsidRPr="00831554" w:rsidRDefault="00124428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</w:p>
    <w:p w:rsidR="00117C93" w:rsidRPr="00831554" w:rsidRDefault="00124428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Las instalaciones de la notaría, cuentan con amplios espacios, dos baños y sala de espera con adecuaciones para atender también a personas </w:t>
      </w:r>
      <w:r w:rsidR="00117C93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en situación de discapacidad, acorde a la ley 1618 de 2013, art 14 numeral 6.</w:t>
      </w:r>
    </w:p>
    <w:p w:rsidR="00D74459" w:rsidRPr="00831554" w:rsidRDefault="00D74459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</w:pPr>
    </w:p>
    <w:p w:rsidR="00117C93" w:rsidRPr="00831554" w:rsidRDefault="00117C93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Se dispone de guía braille e información para personas invidentes o con visión disminuida </w:t>
      </w:r>
      <w:r w:rsidR="00D74459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con el fin de facilitar la atención de dicha población.</w:t>
      </w:r>
    </w:p>
    <w:p w:rsidR="00117C93" w:rsidRPr="00831554" w:rsidRDefault="00117C93" w:rsidP="00831554">
      <w:p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 </w:t>
      </w:r>
    </w:p>
    <w:p w:rsidR="00117C93" w:rsidRPr="00831554" w:rsidRDefault="001B18A6" w:rsidP="00831554">
      <w:pPr>
        <w:pStyle w:val="Prrafodelista"/>
        <w:numPr>
          <w:ilvl w:val="0"/>
          <w:numId w:val="6"/>
        </w:numPr>
        <w:spacing w:after="0" w:line="24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b/>
          <w:bCs/>
          <w:color w:val="333333"/>
          <w:sz w:val="28"/>
          <w:szCs w:val="28"/>
          <w:lang w:eastAsia="es-CO"/>
        </w:rPr>
        <w:t>UBICACION</w:t>
      </w:r>
    </w:p>
    <w:p w:rsidR="00117C93" w:rsidRPr="00831554" w:rsidRDefault="00117C93" w:rsidP="00831554">
      <w:pPr>
        <w:spacing w:after="0" w:line="240" w:lineRule="atLeast"/>
        <w:jc w:val="both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es-CO"/>
        </w:rPr>
      </w:pPr>
    </w:p>
    <w:p w:rsidR="00117C93" w:rsidRPr="00831554" w:rsidRDefault="00117C93" w:rsidP="00831554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La Notaria está ubicada en la carrera 3</w:t>
      </w:r>
      <w:r w:rsidR="001B18A6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2 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# </w:t>
      </w:r>
      <w:r w:rsidR="001B18A6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28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-</w:t>
      </w:r>
      <w:r w:rsidR="001B18A6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27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, </w:t>
      </w:r>
      <w:r w:rsidR="001B18A6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en el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Municipio </w:t>
      </w:r>
      <w:r w:rsidR="001B18A6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de Frontino 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Antioquia, </w:t>
      </w:r>
      <w:r w:rsidR="00C65E20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a media cuadra del parque principal.</w:t>
      </w:r>
    </w:p>
    <w:p w:rsidR="00C65E20" w:rsidRPr="00831554" w:rsidRDefault="00C65E20" w:rsidP="00831554">
      <w:pPr>
        <w:spacing w:after="0" w:line="240" w:lineRule="auto"/>
        <w:ind w:left="-357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</w:p>
    <w:p w:rsidR="00117C93" w:rsidRPr="00831554" w:rsidRDefault="00117C93" w:rsidP="00831554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El local </w:t>
      </w:r>
      <w:r w:rsidR="00C65E20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tiene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</w:t>
      </w:r>
      <w:r w:rsidR="00C65E20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buenas 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condiciones</w:t>
      </w:r>
      <w:r w:rsidR="00C65E20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en cuanto a comodidad y luminosidad para u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suarios, dando cumplimiento al Decreto 960 de 1079 art 159.</w:t>
      </w:r>
    </w:p>
    <w:p w:rsidR="00C65E20" w:rsidRPr="00831554" w:rsidRDefault="00C65E20" w:rsidP="008315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</w:p>
    <w:p w:rsidR="00117C93" w:rsidRPr="00831554" w:rsidRDefault="00117C93" w:rsidP="00831554">
      <w:pPr>
        <w:numPr>
          <w:ilvl w:val="0"/>
          <w:numId w:val="1"/>
        </w:numPr>
        <w:spacing w:after="0" w:line="240" w:lineRule="auto"/>
        <w:ind w:left="0" w:hanging="357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Su archivo se encuentra debidamente organizado</w:t>
      </w:r>
      <w:r w:rsidR="00831554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,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</w:t>
      </w:r>
      <w:r w:rsidR="00831554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l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os tomos encuadernados debidamente, </w:t>
      </w:r>
      <w:r w:rsidR="00831554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garantizado el cuidado y conservación del archivo notarial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.</w:t>
      </w:r>
    </w:p>
    <w:p w:rsidR="00715B95" w:rsidRPr="00831554" w:rsidRDefault="00831554" w:rsidP="00831554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Las áreas están debidamente señalizadas para la buena orientación de los usuarios con carteles que indican cada uno de los servicios que 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lastRenderedPageBreak/>
        <w:t xml:space="preserve">presta la notaría, como: </w:t>
      </w:r>
      <w:r w:rsidR="00715B95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atención al usuario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, </w:t>
      </w:r>
      <w:r w:rsidR="00715B95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ventanilla de atención preferencial, Biometría y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 </w:t>
      </w:r>
      <w:r w:rsidR="00715B95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Autenticaciones</w:t>
      </w:r>
      <w:r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 xml:space="preserve">, </w:t>
      </w:r>
      <w:r w:rsidR="00715B95" w:rsidRPr="00831554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s-CO"/>
        </w:rPr>
        <w:t>despacho Notarial.</w:t>
      </w:r>
    </w:p>
    <w:p w:rsidR="00715B95" w:rsidRPr="00831554" w:rsidRDefault="00715B95" w:rsidP="00831554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</w:p>
    <w:p w:rsidR="00117C93" w:rsidRPr="00831554" w:rsidRDefault="00117C93" w:rsidP="00117C93">
      <w:p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  <w:r w:rsidRPr="00831554">
        <w:rPr>
          <w:rFonts w:ascii="Arial" w:eastAsia="Times New Roman" w:hAnsi="Arial" w:cs="Arial"/>
          <w:color w:val="666666"/>
          <w:sz w:val="28"/>
          <w:szCs w:val="28"/>
          <w:lang w:eastAsia="es-CO"/>
        </w:rPr>
        <w:t> </w:t>
      </w:r>
    </w:p>
    <w:p w:rsidR="00117C93" w:rsidRPr="00831554" w:rsidRDefault="00117C93" w:rsidP="00117C93">
      <w:pPr>
        <w:spacing w:after="0" w:line="0" w:lineRule="auto"/>
        <w:jc w:val="both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s-CO"/>
        </w:rPr>
      </w:pPr>
    </w:p>
    <w:sectPr w:rsidR="00117C93" w:rsidRPr="00831554" w:rsidSect="00E112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6471"/>
    <w:multiLevelType w:val="hybridMultilevel"/>
    <w:tmpl w:val="80328F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3F45FA"/>
    <w:multiLevelType w:val="multilevel"/>
    <w:tmpl w:val="A142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00044"/>
    <w:multiLevelType w:val="multilevel"/>
    <w:tmpl w:val="C1A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872897"/>
    <w:multiLevelType w:val="multilevel"/>
    <w:tmpl w:val="D67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943AC1"/>
    <w:multiLevelType w:val="hybridMultilevel"/>
    <w:tmpl w:val="689C92F4"/>
    <w:lvl w:ilvl="0" w:tplc="A2BC8358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7BC7"/>
    <w:multiLevelType w:val="multilevel"/>
    <w:tmpl w:val="960C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746839">
    <w:abstractNumId w:val="2"/>
  </w:num>
  <w:num w:numId="2" w16cid:durableId="1231116812">
    <w:abstractNumId w:val="3"/>
  </w:num>
  <w:num w:numId="3" w16cid:durableId="2017422040">
    <w:abstractNumId w:val="5"/>
  </w:num>
  <w:num w:numId="4" w16cid:durableId="1179541495">
    <w:abstractNumId w:val="1"/>
  </w:num>
  <w:num w:numId="5" w16cid:durableId="1968773758">
    <w:abstractNumId w:val="0"/>
  </w:num>
  <w:num w:numId="6" w16cid:durableId="1203859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93"/>
    <w:rsid w:val="00117C93"/>
    <w:rsid w:val="00124428"/>
    <w:rsid w:val="001B18A6"/>
    <w:rsid w:val="00207DFE"/>
    <w:rsid w:val="00715B95"/>
    <w:rsid w:val="00831554"/>
    <w:rsid w:val="0083656B"/>
    <w:rsid w:val="00C65E20"/>
    <w:rsid w:val="00D74459"/>
    <w:rsid w:val="00E1127F"/>
    <w:rsid w:val="00E169BD"/>
    <w:rsid w:val="00E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0902"/>
  <w15:chartTrackingRefBased/>
  <w15:docId w15:val="{F6082934-74AD-4A06-8674-E22E3FEB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17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5">
    <w:name w:val="heading 5"/>
    <w:basedOn w:val="Normal"/>
    <w:link w:val="Ttulo5Car"/>
    <w:uiPriority w:val="9"/>
    <w:qFormat/>
    <w:rsid w:val="00117C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C9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117C93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15B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0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1605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6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2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2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5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539678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  <w:divsChild>
                                        <w:div w:id="10278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808021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  <w:div w:id="757823946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  <w:div w:id="17887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617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7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0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4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6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  <w:divsChild>
                                        <w:div w:id="3810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6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2444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6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4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0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9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7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904">
                              <w:marLeft w:val="0"/>
                              <w:marRight w:val="89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9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47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5273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  <w:divsChild>
                                        <w:div w:id="1540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Escobar Osorio</dc:creator>
  <cp:keywords/>
  <dc:description/>
  <cp:lastModifiedBy>Fami</cp:lastModifiedBy>
  <cp:revision>7</cp:revision>
  <dcterms:created xsi:type="dcterms:W3CDTF">2022-12-21T03:32:00Z</dcterms:created>
  <dcterms:modified xsi:type="dcterms:W3CDTF">2022-12-21T03:58:00Z</dcterms:modified>
</cp:coreProperties>
</file>